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68</w:t>
      </w:r>
    </w:p>
    <w:p>
      <w:r>
        <w:t>Bundesgericht (BGE), 1981-12-23, DE</w:t>
      </w:r>
    </w:p>
    <w:p>
      <w:r>
        <w:rPr>
          <w:b/>
        </w:rPr>
        <w:t xml:space="preserve">Quelle: </w:t>
      </w:r>
      <w:r>
        <w:t>https://mcp.opencaselaw.ch/entscheid/bge_108 III 68</w:t>
      </w:r>
    </w:p>
    <w:p>
      <w:r>
        <w:t>FR: ATF 108 III 68</w:t>
      </w:r>
    </w:p>
    <w:p>
      <w:r>
        <w:t>IT: DTF 108 III 68</w:t>
      </w:r>
    </w:p>
    <w:p>
      <w:pPr>
        <w:pStyle w:val="Heading2"/>
      </w:pPr>
      <w:r>
        <w:t>Regeste</w:t>
      </w:r>
    </w:p>
    <w:p>
      <w:r>
        <w:t>Regeste Art. 49a Abs. 1 GebTSchKG. Festsetzung einer Pauschalgebühr in anspruchsvollen Konkursverfahren; Prüfungsbefugnis des Bundesgerichts (E. 2); Begriff der besonders aufwendigen Abklärungen (E. 3).</w:t>
      </w:r>
    </w:p>
    <w:p>
      <w:pPr>
        <w:pStyle w:val="Heading2"/>
      </w:pPr>
      <w:r>
        <w:t>Erwägungen</w:t>
      </w:r>
    </w:p>
    <w:p>
      <w:r>
        <w:rPr>
          <w:b/>
        </w:rPr>
        <w:t>E. 1</w:t>
      </w:r>
    </w:p>
    <w:p>
      <w:r>
        <w:t>Das Sachwalterbüro Bachmann &amp; Co. ist durch den Beschluss des Regierungsrates zum ausserordentlichen Konkursbeamten ernannt worden; dagegen haben die Gläubiger nie im Sinne von Art. 237 Abs. 2 SchKG eine ausseramtliche Konkursverwaltung eingesetzt. Das Sachwalterbüro bildet daher im Konkurs über die Otto Hinnen Turngeräte AG zusammen mit dem ordentlichen Konkursbeamten Robert Imfeld die amtliche Konkursverwaltung.</w:t>
      </w:r>
    </w:p>
    <w:p>
      <w:r>
        <w:rPr>
          <w:b/>
        </w:rPr>
        <w:t>E. 2</w:t>
      </w:r>
    </w:p>
    <w:p>
      <w:r>
        <w:t>Nach Art. 49a Abs. 1 GebTSchKG kann die Aufsichtsbehörde für umfangreiche Konkursverfahren, die überdies besonders aufwendige Abklärungen des Sachverhaltes oder von Rechtsfragen erfordern, die Gebühren für die amtliche Konkursverwaltung um eine Pauschalgebühr erhöhen; sie berücksichtigt dabei den Zeitaufwand und den Wert der Interessen. Diese Bestimmung räumt der kantonalen Aufsichtsbehörde bei der Prüfung der Frage, ob über die ordentlichen Gebühren hinaus eine Pauschalgebühr festzusetzen sei, einen weiten Ermessensspielraum ein, in welchen das Bundesgericht bei der Beurteilung eines Rekurses im Sinne von Art. 19 SchKG nicht eingreifen darf. Die Aufsichtsbehörde ist dabei freilich nicht völlig frei, sondern hat zu beachten, dass die Gebührenordnung des Tarifs auf sozialen Überlegungen beruht und dass nicht unbegrenzt hohe Forderungen der Konkursmasse belastet werden dürfen (vgl. BGE 103 III 66 ff.). Ob ein Verfahren als umfangreich und besonders aufwendig betrachtet werden kann, ergibt sich im übrigen in der Regel auf Grund einer Würdigung der Akten, Belege und Auskünfte der Beteiligten. Insofern stehen tatsächliche Feststellungen im Spiel, an die das Bundesgericht gebunden ist (Art. 63 Abs. 2 in Verbindung mit Art. 81 OG ). Die Vorinstanz betrachtet das vorliegende Konkursverfahren zwar für umfangreich; sie verneint jedoch, dass besonders aufwendige Abklärungen rechtlicher oder tatsächlicher Art notwendig gewesen wären. Zudem stellt sie fest, dass die Konkursverwaltung BGE 108 III 68 S. 70 nicht substantiiert nachgewiesen habe, worin die zusätzlichen besonderen Abklärungen bestanden hätten. Das Sachwalterbüro Bachmann habe selbst geschrieben, dass es sich von ihm aus gesehen um ein durchaus übliches Konkursverfahren gehandelt habe.</w:t>
      </w:r>
    </w:p>
    <w:p>
      <w:r>
        <w:rPr>
          <w:b/>
        </w:rPr>
        <w:t>E. 3</w:t>
      </w:r>
    </w:p>
    <w:p>
      <w:r>
        <w:t>Ob ein Konkursverfahren bereits dann als umfangreich bezeichnet werden kann, wenn die Konkursakten zwei Ordner füllen, wie die Vorinstanz annimmt, kann dahingestellt bleiben. Jedenfalls durfte die Vorinstanz aufgrund ihrer Feststellungen ohne Verletzung von Bundesrecht annehmen, das vorliegende Verfahren habe keine besonders aufwendigen Abklärungen des Sachverhalts oder von Rechtsfragen erfordert. Die Konkursverwaltung macht ihrerseits nicht geltend, die Vorinstanz sei von einem unrichtigen Begriff der besonders aufwendigen Abklärungen ausgegangen. Sie bestreitet auch die Feststellung im angefochtenen Entscheid nicht, wonach die Frage der Anfechtbarkeit der Debitorenzessionen an die Obwaldner Kantonalbank nur so lange umstritten war, als das Vorliegen einer Abtretungsverpflichtung nicht bekannt war. Dass die Konkursverwalter in diesem Zusammenhang "mehrere Stunden" bei der Obwaldner Kantonalbank und den Anwälten verbringen mussten, stellt offensichtlich keine besonders aufwendige Abklärung im Sinne des Tarifes dar. Die weitere Behauptung, auch die Abklärungen bezüglich allfälliger Verantwortlichkeitsklagen und der Verflechtungen mit den verschiedenen andern Firmen Otto Hinnens hätten einen besonderen Aufwand verursacht, ist neu und zudem nicht hinreichend substantiiert. Überhaupt hat die Konkursverwaltung - auch abgesehen von der mangelnden Substantiierung des besonderen Aufwandes - ihr Gesuch nicht richtig begründet. Sie hat sich damit begnügt, der Aufsichtsbehörde eine Liste über die Barauslagen und den Zeitaufwand für die einzelnen Verrichtungen einzureichen, wobei sie bei der Berechnung ihres Honorars von einem Stundenansatz von Fr. 60.-- ausging. Richtigerweise hätte sie aber zunächst eine Gebührenrechnung gemäss Art. 47 ff. GebTSchKG erstellen sollen. Erst danach hätte sich die Frage gestellt, ob der so errechnete Betrag gemäss Art. 49a Abs. 1 GebT wegen des besonderen Aufwandes unter Berücksichtigung des Zeitaufwandes und des Wertes der Interessen um eine Pauschalgebühr zu erhöhen ist. Nur mit dieser zusätzlichen Gebühr hätte sich die Aufsichtsbehörde befassen müssen, sofern nicht ein Berechtigter gegen die Gebührenrechnung Beschwerde erhoben hätte. Eine Erhöhung der ordentlichen Gebühren um eine Pauschalgebühr hat die BGE 108 III 68 S. 71 Konkursverwaltung jedoch nicht verlangt. Ihre Kostenliste taugt daher nicht als Grundlage für die Zusprechung einer Pauschalgebühr im Sinne von Art. 49a Abs. 1 GebT.</w:t>
      </w:r>
    </w:p>
    <w:p>
      <w:r>
        <w:rPr>
          <w:b/>
        </w:rPr>
        <w:t>E. 4</w:t>
      </w:r>
    </w:p>
    <w:p>
      <w:r>
        <w:t>Der Rekurs erweist sich somit als unbegründet. Bei diesem Ausgang des Verfahrens wird die Konkursverwaltung eine Gebührenrechnung gemäss Art. 47 ff. GebT zu erstellen haben. Nur die so errechneten Gebühren können in der Schlussrechnung des Konkurses als Passivum berücksichtigt werden. Ob das Sachwalterbüro Bachmann &amp; Co. aufgrund seiner Ernennung zum ausserordentlichen Konkursbeamten durch den Regierungsrat vom Kanton Obwalden kraft kantonalen Rechts eine zusätzliche Entschädigung verlangen kann (vgl. dazu STRAESSLE/KRAUSKOPF, Erläuterungen zum Gebührentarif, S. 53), ist im vorliegenden Verfahren nicht zu prüfen. Dispositiv Demnach erkennt die Schuldbetreibungs- und Konkurskammer: Der Rekurs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